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26</w:t>
      </w:r>
    </w:p>
    <w:p>
      <w:r>
        <w:t>Bundesgericht (BGE), 2000-10-17, FR</w:t>
      </w:r>
    </w:p>
    <w:p>
      <w:r>
        <w:rPr>
          <w:b/>
        </w:rPr>
        <w:t xml:space="preserve">Quelle: </w:t>
      </w:r>
      <w:r>
        <w:t>https://mcp.opencaselaw.ch/entscheid/bge_127 III 26</w:t>
      </w:r>
    </w:p>
    <w:p>
      <w:r>
        <w:t>FR: ATF 127 III 26</w:t>
      </w:r>
    </w:p>
    <w:p>
      <w:r>
        <w:t>IT: DTF 127 III 26</w:t>
      </w:r>
    </w:p>
    <w:p>
      <w:pPr>
        <w:pStyle w:val="Heading2"/>
      </w:pPr>
      <w:r>
        <w:t>Regeste</w:t>
      </w:r>
    </w:p>
    <w:p>
      <w:r>
        <w:t>Regeste Urheberrecht; Entschädigungsanspruch; Ausnahme für Kataloge (Art. 26 URG). Zwingende Natur der Bestimmungen des URG (E. 4). Kein Entschädigungsanspruch für Kataloge temporärer Ausstellungen mit Werken, die dem Autor selbst oder Dritten gehören (E. 5).</w:t>
      </w:r>
    </w:p>
    <w:p>
      <w:pPr>
        <w:pStyle w:val="Heading2"/>
      </w:pPr>
      <w:r>
        <w:t>Erwägungen</w:t>
      </w:r>
    </w:p>
    <w:p>
      <w:r>
        <w:rPr>
          <w:b/>
        </w:rPr>
        <w:t>E. 4</w:t>
      </w:r>
    </w:p>
    <w:p>
      <w:r>
        <w:t>La cour cantonale est partie de la prémisse que les règles de la LDA étaient impératives. Cette affirmation doit être confirmée. En effet, il a été jugé que les sociétés de gestion des droits d'auteur ne sauraient faire valoir devant les tribunaux civils des prétentions à rémunération qui seraient incompatibles avec des prescriptions légales impératives, et qu'il était en particulier hors de question d'introduire un devoir de rémunération par le biais d'un tarif approuvé, pour des activités qui ne sont pas soumises à rémunération à teneur de la loi (SJ 1999 p. 353 consid. 4a). C'est donc à juste titre que la cour cantonale a posé que la LDA ne permet pas de dérogation tarifaire. C'est le lieu de relever que la Cour de justice a aussi considéré à bon droit que la convention signée par les parties en 1995 ne permettait BGE 127 III 26 S. 29 pas à la demanderesse d'obtenir gain de cause: si celle-ci ne peut pas appliquer le tarif praeter legem, a fortiori ne peut-elle pas faire valoir contractuellement des prétentions non autorisées par le Tarif image, qui doit respecter les impératifs de la LDA. Avec la cour cantonale, on retiendra que toute prestation conventionnelle supplémentaire est illicite et nulle ab initio au sens de l'art. 20 al. 1 CO.</w:t>
      </w:r>
    </w:p>
    <w:p>
      <w:r>
        <w:rPr>
          <w:b/>
        </w:rPr>
        <w:t>E. 5</w:t>
      </w:r>
    </w:p>
    <w:p>
      <w:r>
        <w:t>Il convient maintenant de rechercher quelle est la juste interprétation de l'art. 26 LDA. a) L'art. 26 LDA a remplacé l'art. 30 ch. 2 de la LDA de 1922, qui avait la teneur suivante: en français: "Est licite: ... 2. la reproduction, dans les catalogues édités par l'administration d'une collection publique, d'oeuvres des arts figuratifs ou de la photographie, d'après des exemplaires se trouvant à demeure dans cette collection." (ROLF 1923 p. 74) en allemand: "Zulässig ist die Wiedergabe: ... 2. von Werken der bildenden Künste oder Photographie nach bleibend in einer öffentlichen Sammlung befindlichen Exemplaren, sofern die Wiedergabe in den von der Verwaltung der Sammlung herausgegebenen Katalogen erfolgt." (AS 1923 p. 72) en italien: "È lecita: ... 2. La riproduzione d'opere delle arti figurative o della fotografia fatta valendosi di esemplari che si trovano in una collezione pubblica, in quanto avvenga nei cataloghi editi dall'amministrazione di quella collezione." (RU 1923 p. 74) Alors que le premier projet de modification de la LDA, en 1984, prévoyait à son art. 35 que "Il est licite de reproduire, dans les catalogues édités par l'administration d'une collection accessible au public, des oeuvres de cette collection" (FF 1984 III 277), un nouveau projet, faisant l'objet du Message du 19 juin 1989, a prévu à son art. 25, sous la note marginale "Catalogues de musée", que "Dans les catalogues édités par l'administration d'une collection accessible au public, il est licite de reproduire des oeuvres se trouvant à demeure dans cette collection" (FF 1989 III 602). Le Message soulignait qu'à une petite restriction près cette disposition correspondait à l'art. 30 ch. 2 LDA, que seules les oeuvres se trouvant à demeure dans une collection accessible au public pourraient être reproduites dans un catalogue, et que les oeuvres prêtées n'étaient par conséquent pas visées par cet article (FF 1989 III 529). BGE 127 III 26 S. 30 Sur proposition de sa commission, le Conseil national a adopté une disposition ne contenant plus les mots "à demeure" et ajouté que "cette règle s'applique également à l'édition de catalogues de ventes aux enchères" (BO 1992 CN 43). Le Conseil des États a encore étendu cette solution aux catalogues de foires (BO 1992 CE 381). Et le Conseil national a adhéré à la décision du Conseil des États (BO 1992 CN 1181). Le texte définitivement adopté, et promulgué, est devenu l'art. 26 LDA avec la teneur suivante: en français: "Catalogues de musées, d'expositions et de ventes aux enchères Dans les catalogues édités par l'administration d'une collection accessible au public, il est licite de reproduire des oeuvres se trouvant dans cette collection; cette règle s'applique également à l'édition de catalogues d'expositions et de ventes aux enchères." en allemand: "Museums-, Messe- und Auktionskataloge Ein Werk, das sich in einer öffentlich zugänglichen Sammlung befindet, darf in einem von der Verwaltung der Sammlung herausgegebenen Katalog abgebildet werden; die gleiche Regelung gilt für die Herausgabe von Messe- und Auktionskatalogen." en italien: "Cataloghi di musei, di esposizioni e di vendite all'asta Nel catalogo pubblicato dall'amministrazione di una collezione accessibile al pubblico è lecito riprodurre opere che si trovano in tale collezione; questa regola si applica anche alla pubblicazione di cataloghi di esposizioni e di vendite all'asta." Seule la première phrase de la disposition concerne la présente cause; la seconde phrase qui se réfère aux catalogues d'expositions (ou de foires) et de ventes aux enchères ne touche pas notre espèce. b) L'art. 26 LDA, tel qu'adopté en 1992, se distingue de la disposition antérieure datant de 1922 et de l'avant-projet proposé en 1989 par la suppression des mots "à demeure" ("bleibend"; nota: dans la version italienne de 1922, l'expression correspondante "stabilmente" employée à l'al. 3 de la même disposition ou "in modo permanente" pour reprendre les termes utilisés dans l'avant-projet de 1989, avait été omise; rien ne permet de penser qu'il se serait agi d'autre chose que d'une inadvertance: l'exigence de permanence dans la législation de 1922 n'est pas contestée). Le texte légal prévoyant que la reproduction dans un catalogue n'était permise que BGE 127 III 26 S. 31 dans le cas d'oeuvres se trouvant de façon permanente dans une collection accessible au public a donc été remplacé par un texte ne contenant plus l'exigence de permanence. La suppression d'une exigence ou d'une condition d'application dans un texte légal signifie généralement que ladite exigence ou condition n'existe plus. L'analyse logique du texte clair de l'art. 26 LDA ne peut que conduire à retenir, avec la cour cantonale, que l'exception au principe de la perception d'un droit d'auteur n'est plus limitée aux catalogues relatifs à une collection permanente mais qu'elle peut s'étendre aux catalogues relatifs à une exposition temporaire comprenant des oeuvres propriété de l'exposé ou des oeuvres prêtées à cet effet. c) Cette interprétation est corroborée par la chronologie et le contenu des travaux parlementaires. C'est à la suite d'une proposition du conseiller Peter Hess que la commission du Conseil national, dans sa séance des 26-27 juin 1991, a supprimé l'exigence de la permanence ou demeure de la collection qui figurait dans le projet. Et c'est en toute conscience et connaissance de cause que la commission a adopté cette modification; son auteur avait précisé qu'il fallait corriger la restriction prévue par le droit antérieur afin de permettre aux oeuvres prêtées (Leihgaben) d'être reproduites dans les catalogues de musées, de manière à ce que ces biens artistiques puissent être connus d'un vaste public. La discussion et le vote qui ont suivi ont montré que cette opinion était suivie par la très grande majorité des commissaires. Le Conseiller fédéral Koller a même été jusqu'à souligner qu'avec le texte du projet du Conseil fédéral la Fondation Pierre Gianadda n'aurait pas la possibilité d'éditer des catalogues, parce qu'elle n'organise que des expositions ad hoc. Les débats parlementaires ont abouti à l'adoption pure et simple de la proposition de la commission du Conseil national modifiant la première phrase de ce qui allait devenir l'art. 26 LDA. L'interprétation historique confirme donc le bien-fondé de la solution retenue par la cour cantonale. d) Cette interprétation de l'art. 26 LDA est aussi celle de la doctrine, qui a constaté la disparition de la limitation de l'exception aux collections permanentes (REHBINDER, Urheberrechtsgesetz, n. 2 ad art. 26), et en a tiré les conséquences logiques: l'exception est étendue aux oeuvres prêtées, donc également à tout le domaine des expositions temporaires (BARRELET/EGLOFF, Le nouveau droit d'auteur, 2e éd., n. 2 ad art. 26 LDA; KAMEN TROLLER, BGE 127 III 26 S. 32 Manuel du droit suisse des biens immatériels, 2e éd., I, p. 542, note 129). e) Les arguments que la demanderesse oppose à cette solution sont vains: - rien ne permet de dire que les mots "collection" et "Sammlung" doivent se comprendre différemment l'un de l'autre, et que le terme "Sammlung", comme le soutient la demanderesse, vise une collection caractérisée par une unité thématique, "le simple fait de rassembler des objets de toutes parts, même en vue d'un but précis" ne pouvant "conférer une unité aux objets ainsi rassemblés et donc en faire une collection"; d'ailleurs, même si l'on voulait admettre une différence de définition, cela ne saurait porter atteinte à l'interprétation proposée; - la finalité de la loi n'est pas touchée par l'interprétation retenue, dès lors que, à côté de la protection des droits d'auteur, elle tend aussi à ne pas freiner exagérément la diffusion de la culture; - l'article 26 LDA, tel qu'interprété ici, n'est pas contraire à l'art. 9 al. 2 de la Convention de Berne pour la protection des oeuvres littéraires et artistiques, version de Paris du 24 juillet 1971 (RS 0.231.15), qui autorise les États à adopter une exception au droit d'auteur "dans certains cas spéciaux, pourvu qu'une telle reproduction ne porte pas atteinte à l'exploitation normale de l'oeuvre ni ne cause un préjudice injustifié aux intérêts légitimes de l'auteur"; l'exploitation normale de l'oeuvre n'est en rien atteinte par sa reproduction dans un catalogue de musée, dès lors que toutes les autres formes de reproduction, y compris par le musée, restent soumises au droit d'auteur (cf. DESSEMONTET, Le droit d'auteur, CEDIDAC 1999, p. 367-368, n. 500 à 502); - Enfin, le fait que plusieurs États européens, dans leurs législations, ne reconnaissent pas aux musées le droit de reproduire des oeuvres protégées dans leurs catalogues sans autorisation et sans payer de redevances, demeure sans effet sur le droit suisse, et en particulier sur l'interprétation de l'art. 26 LDA. En conclusion, l'arrêt attaqué donne une interprétation correcte de la LDA.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